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3"/>
        <w:tblW w:w="210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9"/>
        <w:gridCol w:w="1890"/>
        <w:gridCol w:w="1814"/>
        <w:gridCol w:w="2340"/>
        <w:gridCol w:w="11591"/>
        <w:gridCol w:w="26"/>
      </w:tblGrid>
      <w:tr w:rsidR="00B30576" w:rsidRPr="00406561" w14:paraId="51373912" w14:textId="77777777" w:rsidTr="00B871D9">
        <w:trPr>
          <w:trHeight w:val="790"/>
        </w:trPr>
        <w:tc>
          <w:tcPr>
            <w:tcW w:w="21044" w:type="dxa"/>
            <w:gridSpan w:val="5"/>
            <w:tcBorders>
              <w:top w:val="single" w:sz="8" w:space="0" w:color="auto"/>
              <w:left w:val="single" w:sz="8" w:space="0" w:color="auto"/>
              <w:bottom w:val="single" w:sz="8" w:space="0" w:color="auto"/>
              <w:right w:val="single" w:sz="8" w:space="0" w:color="auto"/>
            </w:tcBorders>
          </w:tcPr>
          <w:p w14:paraId="62AD85B9" w14:textId="77777777" w:rsidR="00B30576" w:rsidRDefault="00B30576" w:rsidP="00B30576">
            <w:pPr>
              <w:jc w:val="center"/>
              <w:rPr>
                <w:b/>
                <w:bCs/>
              </w:rPr>
            </w:pPr>
            <w:r>
              <w:rPr>
                <w:b/>
                <w:bCs/>
              </w:rPr>
              <w:t>SEBS/NJAES Class 4 Classification Matrix</w:t>
            </w:r>
          </w:p>
        </w:tc>
        <w:tc>
          <w:tcPr>
            <w:tcW w:w="26" w:type="dxa"/>
            <w:tcBorders>
              <w:top w:val="single" w:sz="8" w:space="0" w:color="auto"/>
              <w:left w:val="single" w:sz="8" w:space="0" w:color="auto"/>
              <w:bottom w:val="single" w:sz="8" w:space="0" w:color="auto"/>
              <w:right w:val="single" w:sz="8" w:space="0" w:color="auto"/>
            </w:tcBorders>
          </w:tcPr>
          <w:p w14:paraId="35EFF282" w14:textId="77777777" w:rsidR="00B30576" w:rsidRDefault="00B30576" w:rsidP="00B30576">
            <w:pPr>
              <w:jc w:val="center"/>
              <w:rPr>
                <w:b/>
                <w:bCs/>
              </w:rPr>
            </w:pPr>
          </w:p>
        </w:tc>
      </w:tr>
      <w:tr w:rsidR="00B30576" w:rsidRPr="00406561" w14:paraId="5C888EF3" w14:textId="77777777" w:rsidTr="001709E0">
        <w:trPr>
          <w:trHeight w:val="547"/>
        </w:trPr>
        <w:tc>
          <w:tcPr>
            <w:tcW w:w="3409" w:type="dxa"/>
            <w:tcBorders>
              <w:top w:val="nil"/>
              <w:left w:val="single" w:sz="8" w:space="0" w:color="auto"/>
              <w:bottom w:val="single" w:sz="8" w:space="0" w:color="auto"/>
              <w:right w:val="single" w:sz="8" w:space="0" w:color="auto"/>
            </w:tcBorders>
            <w:vAlign w:val="center"/>
            <w:hideMark/>
          </w:tcPr>
          <w:p w14:paraId="4E954B31" w14:textId="77777777" w:rsidR="00B30576" w:rsidRPr="00406561" w:rsidRDefault="00B30576" w:rsidP="00B30576">
            <w:pPr>
              <w:jc w:val="center"/>
              <w:rPr>
                <w:b/>
                <w:bCs/>
              </w:rPr>
            </w:pPr>
            <w:r w:rsidRPr="00961848">
              <w:rPr>
                <w:b/>
                <w:bCs/>
              </w:rPr>
              <w:t>Position Classification</w:t>
            </w:r>
          </w:p>
        </w:tc>
        <w:tc>
          <w:tcPr>
            <w:tcW w:w="1890" w:type="dxa"/>
            <w:tcBorders>
              <w:top w:val="nil"/>
              <w:left w:val="nil"/>
              <w:bottom w:val="single" w:sz="8" w:space="0" w:color="auto"/>
              <w:right w:val="single" w:sz="8" w:space="0" w:color="auto"/>
            </w:tcBorders>
            <w:vAlign w:val="center"/>
            <w:hideMark/>
          </w:tcPr>
          <w:p w14:paraId="507286F8" w14:textId="77777777" w:rsidR="00B30576" w:rsidRPr="00406561" w:rsidRDefault="00B30576" w:rsidP="00B30576">
            <w:pPr>
              <w:jc w:val="center"/>
            </w:pPr>
            <w:r>
              <w:rPr>
                <w:b/>
                <w:bCs/>
              </w:rPr>
              <w:t>Job Codes</w:t>
            </w:r>
          </w:p>
        </w:tc>
        <w:tc>
          <w:tcPr>
            <w:tcW w:w="1814" w:type="dxa"/>
            <w:tcBorders>
              <w:top w:val="nil"/>
              <w:left w:val="single" w:sz="4" w:space="0" w:color="auto"/>
              <w:bottom w:val="single" w:sz="8" w:space="0" w:color="auto"/>
              <w:right w:val="single" w:sz="8" w:space="0" w:color="auto"/>
            </w:tcBorders>
            <w:vAlign w:val="center"/>
            <w:hideMark/>
          </w:tcPr>
          <w:p w14:paraId="54B0AEB6" w14:textId="77777777" w:rsidR="00B30576" w:rsidRPr="00406561" w:rsidRDefault="00B30576" w:rsidP="00B30576">
            <w:pPr>
              <w:jc w:val="center"/>
            </w:pPr>
            <w:r w:rsidRPr="00406561">
              <w:rPr>
                <w:b/>
                <w:bCs/>
              </w:rPr>
              <w:t>Years of Experience</w:t>
            </w:r>
          </w:p>
        </w:tc>
        <w:tc>
          <w:tcPr>
            <w:tcW w:w="2340" w:type="dxa"/>
            <w:tcBorders>
              <w:top w:val="nil"/>
              <w:left w:val="nil"/>
              <w:bottom w:val="single" w:sz="8" w:space="0" w:color="auto"/>
              <w:right w:val="single" w:sz="8" w:space="0" w:color="auto"/>
            </w:tcBorders>
            <w:vAlign w:val="bottom"/>
            <w:hideMark/>
          </w:tcPr>
          <w:p w14:paraId="192B550F" w14:textId="77777777" w:rsidR="00B30576" w:rsidRPr="00406561" w:rsidRDefault="00B30576" w:rsidP="00B30576">
            <w:pPr>
              <w:jc w:val="center"/>
            </w:pPr>
            <w:r w:rsidRPr="00406561">
              <w:rPr>
                <w:b/>
                <w:bCs/>
              </w:rPr>
              <w:t>Education Requirements</w:t>
            </w:r>
          </w:p>
        </w:tc>
        <w:tc>
          <w:tcPr>
            <w:tcW w:w="11591" w:type="dxa"/>
            <w:tcBorders>
              <w:top w:val="nil"/>
              <w:left w:val="nil"/>
              <w:bottom w:val="single" w:sz="8" w:space="0" w:color="auto"/>
              <w:right w:val="nil"/>
            </w:tcBorders>
            <w:vAlign w:val="bottom"/>
          </w:tcPr>
          <w:p w14:paraId="2E6AEB3B" w14:textId="77777777" w:rsidR="00B30576" w:rsidRPr="00406561" w:rsidRDefault="00B30576" w:rsidP="00B30576">
            <w:pPr>
              <w:jc w:val="center"/>
              <w:rPr>
                <w:b/>
                <w:bCs/>
              </w:rPr>
            </w:pPr>
            <w:r>
              <w:rPr>
                <w:b/>
                <w:bCs/>
              </w:rPr>
              <w:t>Generic Duties</w:t>
            </w:r>
          </w:p>
        </w:tc>
        <w:tc>
          <w:tcPr>
            <w:tcW w:w="26" w:type="dxa"/>
            <w:tcBorders>
              <w:top w:val="nil"/>
              <w:left w:val="nil"/>
              <w:bottom w:val="single" w:sz="8" w:space="0" w:color="auto"/>
              <w:right w:val="single" w:sz="8" w:space="0" w:color="auto"/>
            </w:tcBorders>
          </w:tcPr>
          <w:p w14:paraId="56CEF48C" w14:textId="77777777" w:rsidR="00B30576" w:rsidRPr="00406561" w:rsidRDefault="00B30576" w:rsidP="00B30576">
            <w:pPr>
              <w:jc w:val="center"/>
              <w:rPr>
                <w:b/>
                <w:bCs/>
              </w:rPr>
            </w:pPr>
          </w:p>
        </w:tc>
      </w:tr>
      <w:tr w:rsidR="00B30576" w:rsidRPr="00406561" w14:paraId="11E251A5" w14:textId="77777777" w:rsidTr="001709E0">
        <w:trPr>
          <w:trHeight w:val="1663"/>
        </w:trPr>
        <w:tc>
          <w:tcPr>
            <w:tcW w:w="3409" w:type="dxa"/>
            <w:tcBorders>
              <w:top w:val="nil"/>
              <w:left w:val="single" w:sz="8" w:space="0" w:color="auto"/>
              <w:bottom w:val="single" w:sz="8" w:space="0" w:color="auto"/>
              <w:right w:val="single" w:sz="8" w:space="0" w:color="auto"/>
            </w:tcBorders>
            <w:shd w:val="clear" w:color="auto" w:fill="F2F2F2"/>
            <w:vAlign w:val="center"/>
            <w:hideMark/>
          </w:tcPr>
          <w:p w14:paraId="7DE0F649" w14:textId="77777777" w:rsidR="00B30576" w:rsidRPr="00406561" w:rsidRDefault="00B30576" w:rsidP="00B30576">
            <w:pPr>
              <w:jc w:val="center"/>
            </w:pPr>
            <w:r>
              <w:t>Clerical Assistant</w:t>
            </w:r>
          </w:p>
        </w:tc>
        <w:tc>
          <w:tcPr>
            <w:tcW w:w="1890" w:type="dxa"/>
            <w:tcBorders>
              <w:top w:val="nil"/>
              <w:left w:val="nil"/>
              <w:bottom w:val="single" w:sz="8" w:space="0" w:color="auto"/>
              <w:right w:val="single" w:sz="8" w:space="0" w:color="auto"/>
            </w:tcBorders>
            <w:shd w:val="clear" w:color="auto" w:fill="F2F2F2"/>
            <w:vAlign w:val="center"/>
            <w:hideMark/>
          </w:tcPr>
          <w:p w14:paraId="3A5551F2" w14:textId="77777777" w:rsidR="00B30576" w:rsidRPr="00406561" w:rsidRDefault="00B30576" w:rsidP="00B30576">
            <w:pPr>
              <w:jc w:val="center"/>
            </w:pPr>
            <w:r>
              <w:t>04440 (Casual), 04610 (Seasonal)</w:t>
            </w:r>
          </w:p>
        </w:tc>
        <w:tc>
          <w:tcPr>
            <w:tcW w:w="1814" w:type="dxa"/>
            <w:tcBorders>
              <w:top w:val="nil"/>
              <w:left w:val="single" w:sz="4" w:space="0" w:color="auto"/>
              <w:bottom w:val="single" w:sz="8" w:space="0" w:color="auto"/>
              <w:right w:val="single" w:sz="8" w:space="0" w:color="auto"/>
            </w:tcBorders>
            <w:shd w:val="clear" w:color="auto" w:fill="F2F2F2"/>
            <w:vAlign w:val="center"/>
            <w:hideMark/>
          </w:tcPr>
          <w:p w14:paraId="76357B77" w14:textId="77777777" w:rsidR="00B30576" w:rsidRPr="00406561" w:rsidRDefault="00B30576" w:rsidP="00B30576">
            <w:pPr>
              <w:jc w:val="center"/>
            </w:pPr>
            <w:r w:rsidRPr="00406561">
              <w:t>None required</w:t>
            </w:r>
          </w:p>
        </w:tc>
        <w:tc>
          <w:tcPr>
            <w:tcW w:w="2340" w:type="dxa"/>
            <w:tcBorders>
              <w:top w:val="nil"/>
              <w:left w:val="nil"/>
              <w:bottom w:val="single" w:sz="8" w:space="0" w:color="auto"/>
              <w:right w:val="single" w:sz="8" w:space="0" w:color="auto"/>
            </w:tcBorders>
            <w:shd w:val="clear" w:color="auto" w:fill="F2F2F2"/>
            <w:vAlign w:val="center"/>
            <w:hideMark/>
          </w:tcPr>
          <w:p w14:paraId="7CCE7A2A" w14:textId="77777777" w:rsidR="00B30576" w:rsidRPr="00406561" w:rsidRDefault="00B30576" w:rsidP="00B30576">
            <w:r>
              <w:t>High school diploma or equivalent.</w:t>
            </w:r>
          </w:p>
        </w:tc>
        <w:tc>
          <w:tcPr>
            <w:tcW w:w="11591" w:type="dxa"/>
            <w:tcBorders>
              <w:top w:val="nil"/>
              <w:left w:val="nil"/>
              <w:bottom w:val="single" w:sz="8" w:space="0" w:color="auto"/>
              <w:right w:val="nil"/>
            </w:tcBorders>
            <w:shd w:val="clear" w:color="auto" w:fill="F2F2F2"/>
            <w:vAlign w:val="center"/>
          </w:tcPr>
          <w:p w14:paraId="183199DE" w14:textId="77777777" w:rsidR="00B30576" w:rsidRDefault="00B30576" w:rsidP="00B30576">
            <w:r w:rsidRPr="003B7B46">
              <w:t>Under general guidance and direction, provides general clerical/ office or library support to unit management such as filing, opening mail; word processing; receptionist duties; basic bookkeeping, calculating and posting charges to departmental accounts, operating basic office equipment, e.g., photocopier, facsimile, multi-line phone/voicemail systems, and basic computer programs. May sort and check out library materials and process books and periodicals. Duties vary widely by department.</w:t>
            </w:r>
          </w:p>
        </w:tc>
        <w:tc>
          <w:tcPr>
            <w:tcW w:w="26" w:type="dxa"/>
            <w:tcBorders>
              <w:top w:val="nil"/>
              <w:left w:val="nil"/>
              <w:bottom w:val="single" w:sz="8" w:space="0" w:color="auto"/>
              <w:right w:val="single" w:sz="8" w:space="0" w:color="auto"/>
            </w:tcBorders>
            <w:shd w:val="clear" w:color="auto" w:fill="F2F2F2"/>
          </w:tcPr>
          <w:p w14:paraId="41E88FD2" w14:textId="77777777" w:rsidR="00B30576" w:rsidRDefault="00B30576" w:rsidP="00B30576"/>
        </w:tc>
      </w:tr>
      <w:tr w:rsidR="00B30576" w:rsidRPr="00406561" w14:paraId="6406D3E2" w14:textId="77777777" w:rsidTr="001709E0">
        <w:trPr>
          <w:trHeight w:val="2212"/>
        </w:trPr>
        <w:tc>
          <w:tcPr>
            <w:tcW w:w="3409" w:type="dxa"/>
            <w:tcBorders>
              <w:top w:val="nil"/>
              <w:left w:val="single" w:sz="8" w:space="0" w:color="auto"/>
              <w:bottom w:val="single" w:sz="8" w:space="0" w:color="auto"/>
              <w:right w:val="single" w:sz="8" w:space="0" w:color="auto"/>
            </w:tcBorders>
            <w:shd w:val="clear" w:color="auto" w:fill="DAE8F8"/>
            <w:vAlign w:val="center"/>
          </w:tcPr>
          <w:p w14:paraId="3262DF10" w14:textId="77777777" w:rsidR="00B30576" w:rsidRDefault="00B30576" w:rsidP="00B30576">
            <w:pPr>
              <w:jc w:val="center"/>
            </w:pPr>
            <w:r>
              <w:t>Service/Maintenance Worker</w:t>
            </w:r>
          </w:p>
        </w:tc>
        <w:tc>
          <w:tcPr>
            <w:tcW w:w="1890" w:type="dxa"/>
            <w:tcBorders>
              <w:top w:val="nil"/>
              <w:left w:val="nil"/>
              <w:bottom w:val="single" w:sz="8" w:space="0" w:color="auto"/>
              <w:right w:val="single" w:sz="8" w:space="0" w:color="auto"/>
            </w:tcBorders>
            <w:shd w:val="clear" w:color="auto" w:fill="DAE8F8"/>
            <w:vAlign w:val="center"/>
          </w:tcPr>
          <w:p w14:paraId="16144487" w14:textId="77777777" w:rsidR="00B30576" w:rsidRDefault="00B30576" w:rsidP="00B30576">
            <w:pPr>
              <w:spacing w:line="240" w:lineRule="auto"/>
              <w:jc w:val="center"/>
            </w:pPr>
            <w:r>
              <w:t>04442 (Casual),</w:t>
            </w:r>
          </w:p>
          <w:p w14:paraId="2295AF1C" w14:textId="77777777" w:rsidR="00B30576" w:rsidRDefault="00B30576" w:rsidP="00B30576">
            <w:pPr>
              <w:spacing w:line="240" w:lineRule="auto"/>
              <w:jc w:val="center"/>
            </w:pPr>
            <w:r>
              <w:t>04630 (Seasonal)</w:t>
            </w:r>
          </w:p>
        </w:tc>
        <w:tc>
          <w:tcPr>
            <w:tcW w:w="1814" w:type="dxa"/>
            <w:tcBorders>
              <w:top w:val="nil"/>
              <w:left w:val="single" w:sz="4" w:space="0" w:color="auto"/>
              <w:bottom w:val="single" w:sz="8" w:space="0" w:color="auto"/>
              <w:right w:val="single" w:sz="8" w:space="0" w:color="auto"/>
            </w:tcBorders>
            <w:shd w:val="clear" w:color="auto" w:fill="DAE8F8"/>
            <w:vAlign w:val="center"/>
          </w:tcPr>
          <w:p w14:paraId="636B8442" w14:textId="77777777" w:rsidR="00B30576" w:rsidRDefault="00B30576" w:rsidP="00B30576">
            <w:pPr>
              <w:jc w:val="center"/>
            </w:pPr>
            <w:r>
              <w:t>None required</w:t>
            </w:r>
          </w:p>
        </w:tc>
        <w:tc>
          <w:tcPr>
            <w:tcW w:w="2340" w:type="dxa"/>
            <w:tcBorders>
              <w:top w:val="nil"/>
              <w:left w:val="nil"/>
              <w:bottom w:val="single" w:sz="8" w:space="0" w:color="auto"/>
              <w:right w:val="single" w:sz="8" w:space="0" w:color="auto"/>
            </w:tcBorders>
            <w:shd w:val="clear" w:color="auto" w:fill="DAE8F8"/>
            <w:vAlign w:val="center"/>
          </w:tcPr>
          <w:p w14:paraId="2EBDD5EF" w14:textId="77777777" w:rsidR="00B30576" w:rsidRDefault="00B30576" w:rsidP="00B30576">
            <w:r>
              <w:t xml:space="preserve">If entry level, no education required. </w:t>
            </w:r>
          </w:p>
          <w:p w14:paraId="43C4F243" w14:textId="77777777" w:rsidR="00B30576" w:rsidRPr="00406561" w:rsidRDefault="00B30576" w:rsidP="00B30576">
            <w:r>
              <w:t>For other positions, High school diploma or equivalent.</w:t>
            </w:r>
          </w:p>
        </w:tc>
        <w:tc>
          <w:tcPr>
            <w:tcW w:w="11591" w:type="dxa"/>
            <w:tcBorders>
              <w:top w:val="nil"/>
              <w:left w:val="nil"/>
              <w:bottom w:val="single" w:sz="8" w:space="0" w:color="auto"/>
              <w:right w:val="nil"/>
            </w:tcBorders>
            <w:shd w:val="clear" w:color="auto" w:fill="DAE8F8"/>
            <w:vAlign w:val="center"/>
          </w:tcPr>
          <w:p w14:paraId="758ED645" w14:textId="77777777" w:rsidR="00B30576" w:rsidRDefault="00B30576" w:rsidP="00B30576">
            <w:r>
              <w:t>Participates in a livestock (pig, cattle, goats, deer or sheep flock), equine and laboratory animal (mice, rats, guinea pigs, rabbits, cats, dogs, etc.), management program to promote research productivity, teaching and profitability of the units.</w:t>
            </w:r>
          </w:p>
          <w:p w14:paraId="03BEFE6B" w14:textId="77777777" w:rsidR="00B30576" w:rsidRDefault="00B30576" w:rsidP="00B30576">
            <w:r>
              <w:t xml:space="preserve"> OR</w:t>
            </w:r>
          </w:p>
          <w:p w14:paraId="51331155" w14:textId="77777777" w:rsidR="00B30576" w:rsidRPr="00094039" w:rsidRDefault="00B30576" w:rsidP="00B30576">
            <w:r>
              <w:t>Participates in the field/land management programs to promote research, productivity, teaching, and profitability of the unit.</w:t>
            </w:r>
          </w:p>
        </w:tc>
        <w:tc>
          <w:tcPr>
            <w:tcW w:w="26" w:type="dxa"/>
            <w:tcBorders>
              <w:top w:val="nil"/>
              <w:left w:val="nil"/>
              <w:bottom w:val="single" w:sz="8" w:space="0" w:color="auto"/>
              <w:right w:val="single" w:sz="8" w:space="0" w:color="auto"/>
            </w:tcBorders>
            <w:shd w:val="clear" w:color="auto" w:fill="DAE8F8"/>
          </w:tcPr>
          <w:p w14:paraId="2F2CC824" w14:textId="77777777" w:rsidR="00B30576" w:rsidRPr="00406561" w:rsidRDefault="00B30576" w:rsidP="00B30576"/>
        </w:tc>
      </w:tr>
      <w:tr w:rsidR="00B30576" w:rsidRPr="00406561" w14:paraId="08C65FD9" w14:textId="77777777" w:rsidTr="001709E0">
        <w:trPr>
          <w:trHeight w:val="1843"/>
        </w:trPr>
        <w:tc>
          <w:tcPr>
            <w:tcW w:w="3409"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74FB77E4" w14:textId="77777777" w:rsidR="00B30576" w:rsidRPr="00406561" w:rsidRDefault="00B30576" w:rsidP="00B30576">
            <w:pPr>
              <w:jc w:val="center"/>
            </w:pPr>
            <w:r>
              <w:t>Laboratory Assistant</w:t>
            </w:r>
          </w:p>
        </w:tc>
        <w:tc>
          <w:tcPr>
            <w:tcW w:w="1890" w:type="dxa"/>
            <w:tcBorders>
              <w:top w:val="nil"/>
              <w:left w:val="nil"/>
              <w:bottom w:val="single" w:sz="8" w:space="0" w:color="auto"/>
              <w:right w:val="single" w:sz="8" w:space="0" w:color="auto"/>
            </w:tcBorders>
            <w:shd w:val="clear" w:color="auto" w:fill="F2F2F2" w:themeFill="background1" w:themeFillShade="F2"/>
            <w:vAlign w:val="center"/>
            <w:hideMark/>
          </w:tcPr>
          <w:p w14:paraId="6E334A28" w14:textId="77777777" w:rsidR="00B30576" w:rsidRDefault="00B30576" w:rsidP="00B30576">
            <w:pPr>
              <w:spacing w:line="240" w:lineRule="auto"/>
              <w:jc w:val="center"/>
            </w:pPr>
            <w:r>
              <w:t>04441 (Casual),</w:t>
            </w:r>
          </w:p>
          <w:p w14:paraId="40B0C2C3" w14:textId="77777777" w:rsidR="00B30576" w:rsidRPr="00406561" w:rsidRDefault="00B30576" w:rsidP="00B30576">
            <w:pPr>
              <w:spacing w:line="240" w:lineRule="auto"/>
              <w:jc w:val="center"/>
            </w:pPr>
            <w:r>
              <w:t>04620 (Seasonal)</w:t>
            </w:r>
          </w:p>
        </w:tc>
        <w:tc>
          <w:tcPr>
            <w:tcW w:w="1814"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14:paraId="582C91C6" w14:textId="77777777" w:rsidR="00B30576" w:rsidRPr="00406561" w:rsidRDefault="00B30576" w:rsidP="00B30576">
            <w:pPr>
              <w:jc w:val="center"/>
            </w:pPr>
            <w:r>
              <w:t>None required</w:t>
            </w:r>
          </w:p>
        </w:tc>
        <w:tc>
          <w:tcPr>
            <w:tcW w:w="2340" w:type="dxa"/>
            <w:tcBorders>
              <w:top w:val="nil"/>
              <w:left w:val="nil"/>
              <w:bottom w:val="single" w:sz="8" w:space="0" w:color="auto"/>
              <w:right w:val="single" w:sz="8" w:space="0" w:color="auto"/>
            </w:tcBorders>
            <w:shd w:val="clear" w:color="auto" w:fill="F2F2F2" w:themeFill="background1" w:themeFillShade="F2"/>
            <w:vAlign w:val="center"/>
            <w:hideMark/>
          </w:tcPr>
          <w:p w14:paraId="40E13817" w14:textId="77777777" w:rsidR="00B30576" w:rsidRPr="00406561" w:rsidRDefault="00B30576" w:rsidP="00B30576">
            <w:r w:rsidRPr="00406561">
              <w:t>Requires a bachelor’s degree in a related field or an equivalent combination of education and/or experience.</w:t>
            </w:r>
          </w:p>
        </w:tc>
        <w:tc>
          <w:tcPr>
            <w:tcW w:w="11591" w:type="dxa"/>
            <w:tcBorders>
              <w:top w:val="nil"/>
              <w:left w:val="nil"/>
              <w:bottom w:val="single" w:sz="8" w:space="0" w:color="auto"/>
              <w:right w:val="nil"/>
            </w:tcBorders>
            <w:shd w:val="clear" w:color="auto" w:fill="F2F2F2" w:themeFill="background1" w:themeFillShade="F2"/>
            <w:vAlign w:val="center"/>
          </w:tcPr>
          <w:p w14:paraId="1B31980F" w14:textId="77777777" w:rsidR="00B30576" w:rsidRPr="00406561" w:rsidRDefault="00B30576" w:rsidP="00B30576">
            <w:r w:rsidRPr="00094039">
              <w:t>Under general guidance and direction, provides basic level laboratory and/or technical support duties involving the application of scientific research methods and techniques. Performs multistage purifications, other assays, and tests; propagates specimens and cell cultures; prepares tissues, chemicals, and/or living subjects for testing and performs related duties as assigned. May perform other technical support duties in disciplines such as engineering, or information technology.</w:t>
            </w:r>
          </w:p>
        </w:tc>
        <w:tc>
          <w:tcPr>
            <w:tcW w:w="26" w:type="dxa"/>
            <w:tcBorders>
              <w:top w:val="nil"/>
              <w:left w:val="nil"/>
              <w:bottom w:val="single" w:sz="8" w:space="0" w:color="auto"/>
              <w:right w:val="single" w:sz="8" w:space="0" w:color="auto"/>
            </w:tcBorders>
            <w:shd w:val="clear" w:color="auto" w:fill="DAE8F8"/>
          </w:tcPr>
          <w:p w14:paraId="58A338C9" w14:textId="77777777" w:rsidR="00B30576" w:rsidRPr="00406561" w:rsidRDefault="00B30576" w:rsidP="00B30576"/>
        </w:tc>
      </w:tr>
      <w:tr w:rsidR="00B30576" w:rsidRPr="00406561" w14:paraId="28F10002" w14:textId="77777777" w:rsidTr="001709E0">
        <w:trPr>
          <w:trHeight w:val="1870"/>
        </w:trPr>
        <w:tc>
          <w:tcPr>
            <w:tcW w:w="3409" w:type="dxa"/>
            <w:tcBorders>
              <w:top w:val="nil"/>
              <w:left w:val="single" w:sz="8" w:space="0" w:color="auto"/>
              <w:bottom w:val="single" w:sz="8" w:space="0" w:color="auto"/>
              <w:right w:val="single" w:sz="8" w:space="0" w:color="auto"/>
            </w:tcBorders>
            <w:shd w:val="clear" w:color="auto" w:fill="DAE9F7" w:themeFill="text2" w:themeFillTint="1A"/>
            <w:vAlign w:val="center"/>
            <w:hideMark/>
          </w:tcPr>
          <w:p w14:paraId="3D57BFBB" w14:textId="77777777" w:rsidR="00B30576" w:rsidRDefault="00B30576" w:rsidP="00B30576">
            <w:r>
              <w:t>Unit Administrator/ Specialist</w:t>
            </w:r>
          </w:p>
          <w:p w14:paraId="6A632FBD" w14:textId="77777777" w:rsidR="00B30576" w:rsidRPr="00406561" w:rsidRDefault="00B30576" w:rsidP="00B30576"/>
        </w:tc>
        <w:tc>
          <w:tcPr>
            <w:tcW w:w="1890" w:type="dxa"/>
            <w:tcBorders>
              <w:top w:val="nil"/>
              <w:left w:val="nil"/>
              <w:bottom w:val="single" w:sz="8" w:space="0" w:color="auto"/>
              <w:right w:val="single" w:sz="8" w:space="0" w:color="auto"/>
            </w:tcBorders>
            <w:shd w:val="clear" w:color="auto" w:fill="DAE9F7" w:themeFill="text2" w:themeFillTint="1A"/>
            <w:vAlign w:val="center"/>
            <w:hideMark/>
          </w:tcPr>
          <w:p w14:paraId="7A2B5872" w14:textId="77777777" w:rsidR="00B30576" w:rsidRDefault="00B30576" w:rsidP="00B30576">
            <w:r>
              <w:t>04443 (Casual),</w:t>
            </w:r>
          </w:p>
          <w:p w14:paraId="6BED181B" w14:textId="77777777" w:rsidR="00B30576" w:rsidRDefault="00B30576" w:rsidP="00B30576">
            <w:r>
              <w:t>04630</w:t>
            </w:r>
            <w:r w:rsidRPr="00406561">
              <w:t> </w:t>
            </w:r>
            <w:r>
              <w:t>(Seasonal)</w:t>
            </w:r>
          </w:p>
          <w:p w14:paraId="01C2A60B" w14:textId="77777777" w:rsidR="00B30576" w:rsidRPr="00406561" w:rsidRDefault="00B30576" w:rsidP="00B30576"/>
        </w:tc>
        <w:tc>
          <w:tcPr>
            <w:tcW w:w="1814" w:type="dxa"/>
            <w:tcBorders>
              <w:top w:val="nil"/>
              <w:left w:val="single" w:sz="4" w:space="0" w:color="auto"/>
              <w:bottom w:val="single" w:sz="8" w:space="0" w:color="auto"/>
              <w:right w:val="single" w:sz="8" w:space="0" w:color="auto"/>
            </w:tcBorders>
            <w:shd w:val="clear" w:color="auto" w:fill="DAE9F7" w:themeFill="text2" w:themeFillTint="1A"/>
            <w:vAlign w:val="center"/>
            <w:hideMark/>
          </w:tcPr>
          <w:p w14:paraId="2368AC92" w14:textId="77777777" w:rsidR="00B30576" w:rsidRPr="00406561" w:rsidRDefault="00B30576" w:rsidP="00B30576">
            <w:pPr>
              <w:jc w:val="center"/>
            </w:pPr>
            <w:r w:rsidRPr="00406561">
              <w:t>Requires a minimum of</w:t>
            </w:r>
            <w:r>
              <w:t xml:space="preserve"> up to</w:t>
            </w:r>
            <w:r w:rsidRPr="00406561">
              <w:t xml:space="preserve"> </w:t>
            </w:r>
            <w:r w:rsidRPr="00ED7E20">
              <w:rPr>
                <w:b/>
                <w:bCs/>
                <w:u w:val="single"/>
              </w:rPr>
              <w:t>two</w:t>
            </w:r>
            <w:r w:rsidRPr="00406561">
              <w:rPr>
                <w:b/>
                <w:bCs/>
                <w:u w:val="single"/>
              </w:rPr>
              <w:t xml:space="preserve"> years</w:t>
            </w:r>
            <w:r w:rsidRPr="00406561">
              <w:t xml:space="preserve"> relevant experience</w:t>
            </w:r>
          </w:p>
        </w:tc>
        <w:tc>
          <w:tcPr>
            <w:tcW w:w="2340" w:type="dxa"/>
            <w:tcBorders>
              <w:top w:val="nil"/>
              <w:left w:val="nil"/>
              <w:bottom w:val="single" w:sz="8" w:space="0" w:color="auto"/>
              <w:right w:val="single" w:sz="8" w:space="0" w:color="auto"/>
            </w:tcBorders>
            <w:shd w:val="clear" w:color="auto" w:fill="DAE9F7" w:themeFill="text2" w:themeFillTint="1A"/>
            <w:vAlign w:val="center"/>
            <w:hideMark/>
          </w:tcPr>
          <w:p w14:paraId="01B115D7" w14:textId="77777777" w:rsidR="00B30576" w:rsidRPr="00406561" w:rsidRDefault="00B30576" w:rsidP="00B30576">
            <w:r w:rsidRPr="00406561">
              <w:t>Requires a bachelor’s degree in a related field or an equivalent combination of education and/or experience. </w:t>
            </w:r>
          </w:p>
        </w:tc>
        <w:tc>
          <w:tcPr>
            <w:tcW w:w="11591" w:type="dxa"/>
            <w:tcBorders>
              <w:top w:val="nil"/>
              <w:left w:val="nil"/>
              <w:right w:val="nil"/>
            </w:tcBorders>
            <w:shd w:val="clear" w:color="auto" w:fill="DAE9F7" w:themeFill="text2" w:themeFillTint="1A"/>
            <w:vAlign w:val="center"/>
          </w:tcPr>
          <w:p w14:paraId="019F9773" w14:textId="77777777" w:rsidR="00B30576" w:rsidRPr="00406561" w:rsidRDefault="00B30576" w:rsidP="00B30576">
            <w:r w:rsidRPr="006C3E01">
              <w:t>Provides support to unit management by organizing and coordinating daily unit operations. Coordinates the administration of programs, projects, and/or processes. Prioritizes work, resolves routine conflicts and issues, prepares and implements administrative guidelines and procedures, and provides oversight and facilitation. Provides routine and nonroutine information and explanations to clients. May create informational materials; provide supporting research, analysis, and proposal data; prepares, processes, and controls records, statistics, reports, and document. May schedule, arrange and coordinate design and logistics for events and meetings; and completes other work assigned. May perform duties in functions such as accounting or information technology.</w:t>
            </w:r>
          </w:p>
        </w:tc>
        <w:tc>
          <w:tcPr>
            <w:tcW w:w="26" w:type="dxa"/>
            <w:tcBorders>
              <w:top w:val="nil"/>
              <w:left w:val="nil"/>
              <w:bottom w:val="single" w:sz="8" w:space="0" w:color="auto"/>
              <w:right w:val="single" w:sz="8" w:space="0" w:color="auto"/>
            </w:tcBorders>
            <w:shd w:val="clear" w:color="auto" w:fill="F2F2F2"/>
          </w:tcPr>
          <w:p w14:paraId="6281CF0D" w14:textId="77777777" w:rsidR="00B30576" w:rsidRPr="00406561" w:rsidRDefault="00B30576" w:rsidP="00B30576"/>
        </w:tc>
      </w:tr>
      <w:tr w:rsidR="00B30576" w:rsidRPr="00406561" w14:paraId="710E786D" w14:textId="77777777" w:rsidTr="001709E0">
        <w:trPr>
          <w:trHeight w:val="2807"/>
        </w:trPr>
        <w:tc>
          <w:tcPr>
            <w:tcW w:w="340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A897AAE" w14:textId="77777777" w:rsidR="00B30576" w:rsidRPr="00406561" w:rsidRDefault="00B30576" w:rsidP="00B30576">
            <w:r>
              <w:t xml:space="preserve">Professional/Research/Manager </w:t>
            </w:r>
          </w:p>
        </w:tc>
        <w:tc>
          <w:tcPr>
            <w:tcW w:w="189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73452C1" w14:textId="77777777" w:rsidR="00B30576" w:rsidRDefault="00B30576" w:rsidP="00B30576">
            <w:r>
              <w:t>04444 (Casual),</w:t>
            </w:r>
          </w:p>
          <w:p w14:paraId="5D57A561" w14:textId="77777777" w:rsidR="00B30576" w:rsidRPr="00406561" w:rsidRDefault="00B30576" w:rsidP="00B30576">
            <w:r>
              <w:t>04640 (Seasonal)</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07054" w14:textId="77777777" w:rsidR="00B30576" w:rsidRPr="00406561" w:rsidRDefault="00B30576" w:rsidP="00B30576">
            <w:pPr>
              <w:jc w:val="center"/>
            </w:pPr>
            <w:r>
              <w:t xml:space="preserve">Requires a minimum of </w:t>
            </w:r>
            <w:r w:rsidRPr="005E4AA1">
              <w:rPr>
                <w:b/>
                <w:bCs/>
                <w:u w:val="single"/>
              </w:rPr>
              <w:t xml:space="preserve">five years </w:t>
            </w:r>
            <w:r>
              <w:t>relevant experience.</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92042F" w14:textId="77777777" w:rsidR="00B30576" w:rsidRPr="00406561" w:rsidRDefault="00B30576" w:rsidP="00B30576">
            <w:r w:rsidRPr="00406561">
              <w:t>Requires a bachelor’s degree in a related field or an equivalent combination of education and/or experience. </w:t>
            </w:r>
          </w:p>
        </w:tc>
        <w:tc>
          <w:tcPr>
            <w:tcW w:w="1159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6B7455B" w14:textId="77777777" w:rsidR="00B30576" w:rsidRDefault="00B30576" w:rsidP="00B30576">
            <w:pPr>
              <w:pStyle w:val="NormalWeb"/>
              <w:rPr>
                <w:rFonts w:asciiTheme="minorHAnsi" w:eastAsiaTheme="minorHAnsi" w:hAnsiTheme="minorHAnsi" w:cstheme="minorBidi"/>
                <w:kern w:val="2"/>
                <w14:ligatures w14:val="standardContextual"/>
              </w:rPr>
            </w:pPr>
            <w:r w:rsidRPr="003A34DA">
              <w:rPr>
                <w:rFonts w:asciiTheme="minorHAnsi" w:eastAsiaTheme="minorHAnsi" w:hAnsiTheme="minorHAnsi" w:cstheme="minorBidi"/>
                <w:kern w:val="2"/>
                <w14:ligatures w14:val="standardContextual"/>
              </w:rPr>
              <w:t>Provides overall management and supervision of the daily operations, staff and performance of a complex academic, research, operational, or administrative university unit. Ensures accurate and timely processing of requests and actions, and professional service to clients. Develops, restructures, and supervises the implementation of procedures and processes. May provide oversight, facilitation, and supervision of academic support and policy interpretation; purchasing, personnel, space and facilities planning; major event design, promotion, and implementation; and may oversee business processes. Performs seasoned professional-level work that requires specialized to general knowledge</w:t>
            </w:r>
            <w:r>
              <w:rPr>
                <w:rFonts w:asciiTheme="minorHAnsi" w:eastAsiaTheme="minorHAnsi" w:hAnsiTheme="minorHAnsi" w:cstheme="minorBidi"/>
                <w:kern w:val="2"/>
                <w14:ligatures w14:val="standardContextual"/>
              </w:rPr>
              <w:t xml:space="preserve"> </w:t>
            </w:r>
          </w:p>
          <w:p w14:paraId="4FEC9C6F" w14:textId="77777777" w:rsidR="00B30576" w:rsidRDefault="00B30576" w:rsidP="00B30576">
            <w:pPr>
              <w:pStyle w:val="NormalWeb"/>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OR</w:t>
            </w:r>
          </w:p>
          <w:p w14:paraId="433A2923" w14:textId="77777777" w:rsidR="00B30576" w:rsidRPr="003A34DA" w:rsidRDefault="00B30576" w:rsidP="00B30576">
            <w:pPr>
              <w:pStyle w:val="NormalWeb"/>
              <w:rPr>
                <w:rFonts w:asciiTheme="minorHAnsi" w:eastAsiaTheme="minorHAnsi" w:hAnsiTheme="minorHAnsi" w:cstheme="minorBidi"/>
                <w:kern w:val="2"/>
                <w14:ligatures w14:val="standardContextual"/>
              </w:rPr>
            </w:pPr>
            <w:r w:rsidRPr="003A34DA">
              <w:rPr>
                <w:rFonts w:asciiTheme="minorHAnsi" w:eastAsiaTheme="minorHAnsi" w:hAnsiTheme="minorHAnsi" w:cstheme="minorBidi"/>
                <w:kern w:val="2"/>
                <w14:ligatures w14:val="standardContextual"/>
              </w:rPr>
              <w:t xml:space="preserve">Provides professional, research or technical management of assigned duties and assures that program(s) proceed as planned. Communicates and collaborates with numerous individuals to maintain involvement in all facets of the project; accountable for major project decisions, protocols, metrics, and client satisfaction. Demonstrates leadership role in forming and maintaining productive working relationships. May manage professional and paraprofessional staff and motivate groups to implement the strategy of the organization. </w:t>
            </w:r>
            <w:r w:rsidRPr="003A34DA">
              <w:rPr>
                <w:rFonts w:asciiTheme="minorHAnsi" w:eastAsiaTheme="minorHAnsi" w:hAnsiTheme="minorHAnsi" w:cstheme="minorBidi"/>
                <w:kern w:val="2"/>
                <w14:ligatures w14:val="standardContextual"/>
              </w:rPr>
              <w:lastRenderedPageBreak/>
              <w:t>Develops procedures for reporting and is responsible for protocol development and/or approvals. May be recognized as a subject matter expert and acts as a consultant to faculty or staff.</w:t>
            </w:r>
          </w:p>
        </w:tc>
        <w:tc>
          <w:tcPr>
            <w:tcW w:w="26" w:type="dxa"/>
            <w:tcBorders>
              <w:top w:val="nil"/>
              <w:left w:val="single" w:sz="4" w:space="0" w:color="auto"/>
              <w:bottom w:val="nil"/>
              <w:right w:val="single" w:sz="8" w:space="0" w:color="auto"/>
            </w:tcBorders>
            <w:shd w:val="clear" w:color="auto" w:fill="F2F2F2"/>
          </w:tcPr>
          <w:p w14:paraId="29490340" w14:textId="77777777" w:rsidR="00B30576" w:rsidRPr="00406561" w:rsidRDefault="00B30576" w:rsidP="00B30576"/>
        </w:tc>
      </w:tr>
      <w:tr w:rsidR="00B30576" w:rsidRPr="00406561" w14:paraId="4580FBB3" w14:textId="77777777" w:rsidTr="001709E0">
        <w:trPr>
          <w:trHeight w:val="1430"/>
        </w:trPr>
        <w:tc>
          <w:tcPr>
            <w:tcW w:w="340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32EE70E" w14:textId="77777777" w:rsidR="00B30576" w:rsidRDefault="00B30576" w:rsidP="00B30576"/>
        </w:tc>
        <w:tc>
          <w:tcPr>
            <w:tcW w:w="189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962EEDC" w14:textId="77777777" w:rsidR="00B30576" w:rsidRDefault="00B30576" w:rsidP="00B30576"/>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2418A" w14:textId="77777777" w:rsidR="00B30576" w:rsidRPr="00406561" w:rsidRDefault="00B30576" w:rsidP="00B30576">
            <w:pPr>
              <w:jc w:val="center"/>
            </w:pPr>
            <w:r>
              <w:t xml:space="preserve">Requires a minimum of </w:t>
            </w:r>
            <w:r>
              <w:rPr>
                <w:b/>
                <w:bCs/>
                <w:u w:val="single"/>
              </w:rPr>
              <w:t>three years</w:t>
            </w:r>
            <w:r w:rsidRPr="005E4AA1">
              <w:rPr>
                <w:b/>
                <w:bCs/>
                <w:u w:val="single"/>
              </w:rPr>
              <w:t xml:space="preserve"> </w:t>
            </w:r>
            <w:r>
              <w:lastRenderedPageBreak/>
              <w:t>relevant experience.</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94040" w14:textId="77777777" w:rsidR="00B30576" w:rsidRPr="00406561" w:rsidRDefault="00B30576" w:rsidP="00B30576">
            <w:r>
              <w:lastRenderedPageBreak/>
              <w:t xml:space="preserve">Requires a master’s degree in a specific field. </w:t>
            </w:r>
          </w:p>
        </w:tc>
        <w:tc>
          <w:tcPr>
            <w:tcW w:w="1159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2328720" w14:textId="77777777" w:rsidR="00B30576" w:rsidRPr="00406561" w:rsidRDefault="00B30576" w:rsidP="00B30576"/>
        </w:tc>
        <w:tc>
          <w:tcPr>
            <w:tcW w:w="26" w:type="dxa"/>
            <w:tcBorders>
              <w:top w:val="nil"/>
              <w:left w:val="single" w:sz="4" w:space="0" w:color="auto"/>
              <w:bottom w:val="nil"/>
              <w:right w:val="single" w:sz="8" w:space="0" w:color="auto"/>
            </w:tcBorders>
            <w:shd w:val="clear" w:color="auto" w:fill="F2F2F2"/>
          </w:tcPr>
          <w:p w14:paraId="1776D974" w14:textId="77777777" w:rsidR="00B30576" w:rsidRPr="00406561" w:rsidRDefault="00B30576" w:rsidP="00B30576"/>
        </w:tc>
      </w:tr>
      <w:tr w:rsidR="00B30576" w:rsidRPr="00406561" w14:paraId="4862B26A" w14:textId="77777777" w:rsidTr="001709E0">
        <w:trPr>
          <w:trHeight w:val="885"/>
        </w:trPr>
        <w:tc>
          <w:tcPr>
            <w:tcW w:w="340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044E397" w14:textId="77777777" w:rsidR="00B30576" w:rsidRPr="00406561" w:rsidRDefault="00B30576" w:rsidP="00B30576">
            <w:r>
              <w:t>Seasonal Marine Field Worker</w:t>
            </w:r>
          </w:p>
        </w:tc>
        <w:tc>
          <w:tcPr>
            <w:tcW w:w="189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DDBB7FF" w14:textId="77777777" w:rsidR="00B30576" w:rsidRPr="00406561" w:rsidRDefault="00B30576" w:rsidP="00B30576">
            <w:pPr>
              <w:jc w:val="center"/>
            </w:pPr>
            <w:r>
              <w:t>31010</w:t>
            </w:r>
          </w:p>
        </w:tc>
        <w:tc>
          <w:tcPr>
            <w:tcW w:w="181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2EAEEC" w14:textId="77777777" w:rsidR="00B30576" w:rsidRPr="00406561" w:rsidRDefault="00B30576" w:rsidP="00B30576">
            <w:pPr>
              <w:jc w:val="center"/>
            </w:pPr>
            <w:r>
              <w:t>None required</w:t>
            </w:r>
          </w:p>
        </w:tc>
        <w:tc>
          <w:tcPr>
            <w:tcW w:w="234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6F94A36" w14:textId="77777777" w:rsidR="00B30576" w:rsidRDefault="00B30576" w:rsidP="00B30576">
            <w:r>
              <w:t xml:space="preserve">If entry level, no education required. </w:t>
            </w:r>
          </w:p>
          <w:p w14:paraId="74A0AF1D" w14:textId="77777777" w:rsidR="00B30576" w:rsidRPr="00406561" w:rsidRDefault="00B30576" w:rsidP="00B30576">
            <w:r>
              <w:t>For other positions, High school diploma or equivalent.</w:t>
            </w:r>
          </w:p>
        </w:tc>
        <w:tc>
          <w:tcPr>
            <w:tcW w:w="1159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36ADFE6" w14:textId="77777777" w:rsidR="00B30576" w:rsidRPr="00406561" w:rsidRDefault="00B30576" w:rsidP="00B30576">
            <w:r w:rsidRPr="000C4D69">
              <w:t>Monitoring includes field collection aboard research and commercial fishing vessels as well as laboratory processing (measuring, shucking, oyster disease/pathology analysis) of oyster dredge samples. Additional duties both in field and lab will include examining interactions between horseshoe crabs and aquaculture farms as well as assisting with benthic surveys. Data entry and audit associated with these tasks will also be required.</w:t>
            </w:r>
          </w:p>
        </w:tc>
        <w:tc>
          <w:tcPr>
            <w:tcW w:w="26" w:type="dxa"/>
            <w:tcBorders>
              <w:top w:val="nil"/>
              <w:left w:val="single" w:sz="4" w:space="0" w:color="auto"/>
              <w:bottom w:val="nil"/>
              <w:right w:val="single" w:sz="8" w:space="0" w:color="auto"/>
            </w:tcBorders>
            <w:shd w:val="clear" w:color="auto" w:fill="F2F2F2"/>
          </w:tcPr>
          <w:p w14:paraId="461C57D7" w14:textId="77777777" w:rsidR="00B30576" w:rsidRPr="00406561" w:rsidRDefault="00B30576" w:rsidP="00B30576"/>
        </w:tc>
      </w:tr>
      <w:tr w:rsidR="00B30576" w:rsidRPr="00406561" w14:paraId="16AAFF9B" w14:textId="77777777" w:rsidTr="001709E0">
        <w:trPr>
          <w:trHeight w:val="885"/>
        </w:trPr>
        <w:tc>
          <w:tcPr>
            <w:tcW w:w="3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36826" w14:textId="77777777" w:rsidR="00B30576" w:rsidRDefault="00B30576" w:rsidP="00B30576">
            <w:r>
              <w:t>Seasonal Agriculture Worker</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F32E7" w14:textId="77777777" w:rsidR="00B30576" w:rsidRPr="00406561" w:rsidRDefault="00B30576" w:rsidP="00B30576">
            <w:pPr>
              <w:jc w:val="center"/>
            </w:pPr>
            <w:r>
              <w:t>30965</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08B21" w14:textId="77777777" w:rsidR="00B30576" w:rsidRPr="00406561" w:rsidRDefault="00B30576" w:rsidP="00B30576">
            <w:pPr>
              <w:jc w:val="center"/>
            </w:pPr>
            <w:r>
              <w:t>None required</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64835" w14:textId="77777777" w:rsidR="00B30576" w:rsidRDefault="00B30576" w:rsidP="00B30576">
            <w:r>
              <w:t xml:space="preserve">If entry-level, no education required. </w:t>
            </w:r>
          </w:p>
          <w:p w14:paraId="7B5CDD36" w14:textId="77777777" w:rsidR="00B30576" w:rsidRPr="00406561" w:rsidRDefault="00B30576" w:rsidP="00B30576">
            <w:r>
              <w:t>For other positions,  High school diploma or equivalent.</w:t>
            </w:r>
          </w:p>
        </w:tc>
        <w:tc>
          <w:tcPr>
            <w:tcW w:w="1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F5728" w14:textId="77777777" w:rsidR="00B30576" w:rsidRPr="00406561" w:rsidRDefault="00B30576" w:rsidP="00B30576">
            <w:r w:rsidRPr="000C4D69">
              <w:t>Field crew management, Field Crew Leader, Crop Management, laboratory experiments, conduct agricultural field experiments, evaluate samples collected in the previous and current field season, maintain greenhouse materials, rear insect colonies, and perform data entry and analysis.</w:t>
            </w:r>
          </w:p>
        </w:tc>
        <w:tc>
          <w:tcPr>
            <w:tcW w:w="26" w:type="dxa"/>
            <w:tcBorders>
              <w:top w:val="nil"/>
              <w:left w:val="single" w:sz="4" w:space="0" w:color="auto"/>
              <w:bottom w:val="nil"/>
              <w:right w:val="single" w:sz="8" w:space="0" w:color="auto"/>
            </w:tcBorders>
            <w:shd w:val="clear" w:color="auto" w:fill="F2F2F2"/>
          </w:tcPr>
          <w:p w14:paraId="5FDF5ACB" w14:textId="77777777" w:rsidR="00B30576" w:rsidRPr="00406561" w:rsidRDefault="00B30576" w:rsidP="00B30576"/>
        </w:tc>
      </w:tr>
      <w:tr w:rsidR="00B30576" w:rsidRPr="00406561" w14:paraId="1932F1F3" w14:textId="77777777" w:rsidTr="00B30576">
        <w:trPr>
          <w:gridAfter w:val="1"/>
          <w:wAfter w:w="26" w:type="dxa"/>
          <w:trHeight w:val="885"/>
        </w:trPr>
        <w:tc>
          <w:tcPr>
            <w:tcW w:w="21044" w:type="dxa"/>
            <w:gridSpan w:val="5"/>
            <w:tcBorders>
              <w:top w:val="single" w:sz="4" w:space="0" w:color="auto"/>
              <w:left w:val="single" w:sz="4" w:space="0" w:color="auto"/>
              <w:bottom w:val="single" w:sz="4" w:space="0" w:color="auto"/>
              <w:right w:val="single" w:sz="4" w:space="0" w:color="auto"/>
            </w:tcBorders>
            <w:vAlign w:val="center"/>
          </w:tcPr>
          <w:p w14:paraId="391C9954" w14:textId="77777777" w:rsidR="00B30576" w:rsidRPr="00406561" w:rsidRDefault="00B30576" w:rsidP="00B30576">
            <w:r w:rsidRPr="0036286E">
              <w:rPr>
                <w:b/>
                <w:bCs/>
              </w:rPr>
              <w:t>Note:</w:t>
            </w:r>
            <w:r>
              <w:t xml:space="preserve"> As per the </w:t>
            </w:r>
            <w:r w:rsidRPr="00106886">
              <w:t>60.3.21 Class 3 and Class 4 Employment</w:t>
            </w:r>
            <w:r>
              <w:t xml:space="preserve"> policy, Class </w:t>
            </w:r>
            <w:r w:rsidRPr="00250EFA">
              <w:t>4 employees are not eligible for university salary improvement and/or incentive programs such as across-the-board increases, merit programs, or bonuses.</w:t>
            </w:r>
            <w:r>
              <w:t xml:space="preserve"> For questions regarding the acceptable hourly ranges for Class 4 positions, please contact Ydalia Ramos at SEBS HR -  </w:t>
            </w:r>
            <w:hyperlink r:id="rId5" w:history="1">
              <w:r w:rsidRPr="00AC13F8">
                <w:rPr>
                  <w:rStyle w:val="Hyperlink"/>
                </w:rPr>
                <w:t>yr238@rutgers.edu</w:t>
              </w:r>
            </w:hyperlink>
            <w:r>
              <w:t xml:space="preserve">.  </w:t>
            </w:r>
          </w:p>
        </w:tc>
      </w:tr>
    </w:tbl>
    <w:p w14:paraId="24CFAE03" w14:textId="77777777" w:rsidR="006C3E01" w:rsidRDefault="006C3E01" w:rsidP="000803FD"/>
    <w:p w14:paraId="709FE163" w14:textId="77777777" w:rsidR="00961848" w:rsidRDefault="00961848" w:rsidP="00E810C7"/>
    <w:sectPr w:rsidR="00961848" w:rsidSect="006C3E01">
      <w:pgSz w:w="23811" w:h="16838" w:orient="landscape" w:code="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961"/>
    <w:multiLevelType w:val="multilevel"/>
    <w:tmpl w:val="688C41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E156D"/>
    <w:multiLevelType w:val="multilevel"/>
    <w:tmpl w:val="38BCDA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05525"/>
    <w:multiLevelType w:val="multilevel"/>
    <w:tmpl w:val="66401A7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4B8911AA"/>
    <w:multiLevelType w:val="multilevel"/>
    <w:tmpl w:val="9E7C6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784607"/>
    <w:multiLevelType w:val="hybridMultilevel"/>
    <w:tmpl w:val="5F5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841F8"/>
    <w:multiLevelType w:val="multilevel"/>
    <w:tmpl w:val="201ACF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9284C"/>
    <w:multiLevelType w:val="multilevel"/>
    <w:tmpl w:val="46988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F1329C"/>
    <w:multiLevelType w:val="multilevel"/>
    <w:tmpl w:val="7AA47A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F85F07"/>
    <w:multiLevelType w:val="multilevel"/>
    <w:tmpl w:val="9AAEA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17720557">
    <w:abstractNumId w:val="3"/>
  </w:num>
  <w:num w:numId="2" w16cid:durableId="850685150">
    <w:abstractNumId w:val="6"/>
  </w:num>
  <w:num w:numId="3" w16cid:durableId="390231675">
    <w:abstractNumId w:val="2"/>
  </w:num>
  <w:num w:numId="4" w16cid:durableId="623387766">
    <w:abstractNumId w:val="1"/>
  </w:num>
  <w:num w:numId="5" w16cid:durableId="614026355">
    <w:abstractNumId w:val="7"/>
  </w:num>
  <w:num w:numId="6" w16cid:durableId="862983753">
    <w:abstractNumId w:val="0"/>
  </w:num>
  <w:num w:numId="7" w16cid:durableId="421724883">
    <w:abstractNumId w:val="5"/>
  </w:num>
  <w:num w:numId="8" w16cid:durableId="1004168295">
    <w:abstractNumId w:val="8"/>
  </w:num>
  <w:num w:numId="9" w16cid:durableId="1590890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61"/>
    <w:rsid w:val="000010E4"/>
    <w:rsid w:val="00016C88"/>
    <w:rsid w:val="00024DB1"/>
    <w:rsid w:val="000432CE"/>
    <w:rsid w:val="0005692E"/>
    <w:rsid w:val="00064B70"/>
    <w:rsid w:val="000803FD"/>
    <w:rsid w:val="00094039"/>
    <w:rsid w:val="00095144"/>
    <w:rsid w:val="000A28BC"/>
    <w:rsid w:val="000C4D69"/>
    <w:rsid w:val="000D1A23"/>
    <w:rsid w:val="0010006A"/>
    <w:rsid w:val="00106886"/>
    <w:rsid w:val="00121722"/>
    <w:rsid w:val="001709E0"/>
    <w:rsid w:val="001740A6"/>
    <w:rsid w:val="00196513"/>
    <w:rsid w:val="001C34DD"/>
    <w:rsid w:val="002138C0"/>
    <w:rsid w:val="00250EFA"/>
    <w:rsid w:val="0026695F"/>
    <w:rsid w:val="00272132"/>
    <w:rsid w:val="002771CA"/>
    <w:rsid w:val="00281479"/>
    <w:rsid w:val="002D76D8"/>
    <w:rsid w:val="002E0576"/>
    <w:rsid w:val="0032247C"/>
    <w:rsid w:val="0036286E"/>
    <w:rsid w:val="0036373D"/>
    <w:rsid w:val="00376AAF"/>
    <w:rsid w:val="00392C41"/>
    <w:rsid w:val="003A34DA"/>
    <w:rsid w:val="003A58B7"/>
    <w:rsid w:val="003B7B46"/>
    <w:rsid w:val="003F3D19"/>
    <w:rsid w:val="00406561"/>
    <w:rsid w:val="0041434B"/>
    <w:rsid w:val="004433EF"/>
    <w:rsid w:val="00445D32"/>
    <w:rsid w:val="00461758"/>
    <w:rsid w:val="00465D45"/>
    <w:rsid w:val="004738E5"/>
    <w:rsid w:val="0047475A"/>
    <w:rsid w:val="0049225D"/>
    <w:rsid w:val="004C0B87"/>
    <w:rsid w:val="004D0236"/>
    <w:rsid w:val="00510A40"/>
    <w:rsid w:val="00516FBF"/>
    <w:rsid w:val="005C5501"/>
    <w:rsid w:val="005E4AA1"/>
    <w:rsid w:val="00616C73"/>
    <w:rsid w:val="00617832"/>
    <w:rsid w:val="00693595"/>
    <w:rsid w:val="006B41B7"/>
    <w:rsid w:val="006C3E01"/>
    <w:rsid w:val="006C6707"/>
    <w:rsid w:val="006D3565"/>
    <w:rsid w:val="00710C6F"/>
    <w:rsid w:val="0071786B"/>
    <w:rsid w:val="0072683C"/>
    <w:rsid w:val="007706A9"/>
    <w:rsid w:val="00783E4F"/>
    <w:rsid w:val="007B2BAC"/>
    <w:rsid w:val="0081259C"/>
    <w:rsid w:val="008B2A05"/>
    <w:rsid w:val="008C78FA"/>
    <w:rsid w:val="008E7597"/>
    <w:rsid w:val="009421B4"/>
    <w:rsid w:val="00952605"/>
    <w:rsid w:val="00960A75"/>
    <w:rsid w:val="00961848"/>
    <w:rsid w:val="00985CDA"/>
    <w:rsid w:val="00A2115E"/>
    <w:rsid w:val="00A5407A"/>
    <w:rsid w:val="00A64A89"/>
    <w:rsid w:val="00A660C8"/>
    <w:rsid w:val="00AB1C46"/>
    <w:rsid w:val="00AD25C2"/>
    <w:rsid w:val="00AF4A20"/>
    <w:rsid w:val="00B050C1"/>
    <w:rsid w:val="00B17722"/>
    <w:rsid w:val="00B301A7"/>
    <w:rsid w:val="00B30576"/>
    <w:rsid w:val="00B726AB"/>
    <w:rsid w:val="00B871D9"/>
    <w:rsid w:val="00BA0562"/>
    <w:rsid w:val="00C028E1"/>
    <w:rsid w:val="00C46E62"/>
    <w:rsid w:val="00C56E1A"/>
    <w:rsid w:val="00C95F24"/>
    <w:rsid w:val="00CC36E4"/>
    <w:rsid w:val="00CE75D2"/>
    <w:rsid w:val="00D034EB"/>
    <w:rsid w:val="00D21369"/>
    <w:rsid w:val="00D2511A"/>
    <w:rsid w:val="00D27340"/>
    <w:rsid w:val="00E04F9F"/>
    <w:rsid w:val="00E349AF"/>
    <w:rsid w:val="00E55CDF"/>
    <w:rsid w:val="00E810C7"/>
    <w:rsid w:val="00E84F70"/>
    <w:rsid w:val="00ED620C"/>
    <w:rsid w:val="00ED7E20"/>
    <w:rsid w:val="00F9284A"/>
    <w:rsid w:val="00FF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DD640"/>
  <w15:chartTrackingRefBased/>
  <w15:docId w15:val="{A6279FAE-E58D-4640-8D2D-4C478FE8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561"/>
    <w:rPr>
      <w:rFonts w:eastAsiaTheme="majorEastAsia" w:cstheme="majorBidi"/>
      <w:color w:val="272727" w:themeColor="text1" w:themeTint="D8"/>
    </w:rPr>
  </w:style>
  <w:style w:type="paragraph" w:styleId="Title">
    <w:name w:val="Title"/>
    <w:basedOn w:val="Normal"/>
    <w:next w:val="Normal"/>
    <w:link w:val="TitleChar"/>
    <w:uiPriority w:val="10"/>
    <w:qFormat/>
    <w:rsid w:val="00406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561"/>
    <w:pPr>
      <w:spacing w:before="160"/>
      <w:jc w:val="center"/>
    </w:pPr>
    <w:rPr>
      <w:i/>
      <w:iCs/>
      <w:color w:val="404040" w:themeColor="text1" w:themeTint="BF"/>
    </w:rPr>
  </w:style>
  <w:style w:type="character" w:customStyle="1" w:styleId="QuoteChar">
    <w:name w:val="Quote Char"/>
    <w:basedOn w:val="DefaultParagraphFont"/>
    <w:link w:val="Quote"/>
    <w:uiPriority w:val="29"/>
    <w:rsid w:val="00406561"/>
    <w:rPr>
      <w:i/>
      <w:iCs/>
      <w:color w:val="404040" w:themeColor="text1" w:themeTint="BF"/>
    </w:rPr>
  </w:style>
  <w:style w:type="paragraph" w:styleId="ListParagraph">
    <w:name w:val="List Paragraph"/>
    <w:basedOn w:val="Normal"/>
    <w:uiPriority w:val="34"/>
    <w:qFormat/>
    <w:rsid w:val="00406561"/>
    <w:pPr>
      <w:ind w:left="720"/>
      <w:contextualSpacing/>
    </w:pPr>
  </w:style>
  <w:style w:type="character" w:styleId="IntenseEmphasis">
    <w:name w:val="Intense Emphasis"/>
    <w:basedOn w:val="DefaultParagraphFont"/>
    <w:uiPriority w:val="21"/>
    <w:qFormat/>
    <w:rsid w:val="00406561"/>
    <w:rPr>
      <w:i/>
      <w:iCs/>
      <w:color w:val="0F4761" w:themeColor="accent1" w:themeShade="BF"/>
    </w:rPr>
  </w:style>
  <w:style w:type="paragraph" w:styleId="IntenseQuote">
    <w:name w:val="Intense Quote"/>
    <w:basedOn w:val="Normal"/>
    <w:next w:val="Normal"/>
    <w:link w:val="IntenseQuoteChar"/>
    <w:uiPriority w:val="30"/>
    <w:qFormat/>
    <w:rsid w:val="00406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561"/>
    <w:rPr>
      <w:i/>
      <w:iCs/>
      <w:color w:val="0F4761" w:themeColor="accent1" w:themeShade="BF"/>
    </w:rPr>
  </w:style>
  <w:style w:type="character" w:styleId="IntenseReference">
    <w:name w:val="Intense Reference"/>
    <w:basedOn w:val="DefaultParagraphFont"/>
    <w:uiPriority w:val="32"/>
    <w:qFormat/>
    <w:rsid w:val="00406561"/>
    <w:rPr>
      <w:b/>
      <w:bCs/>
      <w:smallCaps/>
      <w:color w:val="0F4761" w:themeColor="accent1" w:themeShade="BF"/>
      <w:spacing w:val="5"/>
    </w:rPr>
  </w:style>
  <w:style w:type="paragraph" w:styleId="NormalWeb">
    <w:name w:val="Normal (Web)"/>
    <w:basedOn w:val="Normal"/>
    <w:uiPriority w:val="99"/>
    <w:unhideWhenUsed/>
    <w:rsid w:val="003A34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16FBF"/>
    <w:rPr>
      <w:color w:val="467886" w:themeColor="hyperlink"/>
      <w:u w:val="single"/>
    </w:rPr>
  </w:style>
  <w:style w:type="character" w:styleId="UnresolvedMention">
    <w:name w:val="Unresolved Mention"/>
    <w:basedOn w:val="DefaultParagraphFont"/>
    <w:uiPriority w:val="99"/>
    <w:semiHidden/>
    <w:unhideWhenUsed/>
    <w:rsid w:val="00516FBF"/>
    <w:rPr>
      <w:color w:val="605E5C"/>
      <w:shd w:val="clear" w:color="auto" w:fill="E1DFDD"/>
    </w:rPr>
  </w:style>
  <w:style w:type="paragraph" w:styleId="NoSpacing">
    <w:name w:val="No Spacing"/>
    <w:uiPriority w:val="1"/>
    <w:qFormat/>
    <w:rsid w:val="00B30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3222">
      <w:bodyDiv w:val="1"/>
      <w:marLeft w:val="0"/>
      <w:marRight w:val="0"/>
      <w:marTop w:val="0"/>
      <w:marBottom w:val="0"/>
      <w:divBdr>
        <w:top w:val="none" w:sz="0" w:space="0" w:color="auto"/>
        <w:left w:val="none" w:sz="0" w:space="0" w:color="auto"/>
        <w:bottom w:val="none" w:sz="0" w:space="0" w:color="auto"/>
        <w:right w:val="none" w:sz="0" w:space="0" w:color="auto"/>
      </w:divBdr>
    </w:div>
    <w:div w:id="435057773">
      <w:bodyDiv w:val="1"/>
      <w:marLeft w:val="0"/>
      <w:marRight w:val="0"/>
      <w:marTop w:val="0"/>
      <w:marBottom w:val="0"/>
      <w:divBdr>
        <w:top w:val="none" w:sz="0" w:space="0" w:color="auto"/>
        <w:left w:val="none" w:sz="0" w:space="0" w:color="auto"/>
        <w:bottom w:val="none" w:sz="0" w:space="0" w:color="auto"/>
        <w:right w:val="none" w:sz="0" w:space="0" w:color="auto"/>
      </w:divBdr>
    </w:div>
    <w:div w:id="582759443">
      <w:bodyDiv w:val="1"/>
      <w:marLeft w:val="0"/>
      <w:marRight w:val="0"/>
      <w:marTop w:val="0"/>
      <w:marBottom w:val="0"/>
      <w:divBdr>
        <w:top w:val="none" w:sz="0" w:space="0" w:color="auto"/>
        <w:left w:val="none" w:sz="0" w:space="0" w:color="auto"/>
        <w:bottom w:val="none" w:sz="0" w:space="0" w:color="auto"/>
        <w:right w:val="none" w:sz="0" w:space="0" w:color="auto"/>
      </w:divBdr>
    </w:div>
    <w:div w:id="948779373">
      <w:bodyDiv w:val="1"/>
      <w:marLeft w:val="0"/>
      <w:marRight w:val="0"/>
      <w:marTop w:val="0"/>
      <w:marBottom w:val="0"/>
      <w:divBdr>
        <w:top w:val="none" w:sz="0" w:space="0" w:color="auto"/>
        <w:left w:val="none" w:sz="0" w:space="0" w:color="auto"/>
        <w:bottom w:val="none" w:sz="0" w:space="0" w:color="auto"/>
        <w:right w:val="none" w:sz="0" w:space="0" w:color="auto"/>
      </w:divBdr>
    </w:div>
    <w:div w:id="1170605680">
      <w:bodyDiv w:val="1"/>
      <w:marLeft w:val="0"/>
      <w:marRight w:val="0"/>
      <w:marTop w:val="0"/>
      <w:marBottom w:val="0"/>
      <w:divBdr>
        <w:top w:val="none" w:sz="0" w:space="0" w:color="auto"/>
        <w:left w:val="none" w:sz="0" w:space="0" w:color="auto"/>
        <w:bottom w:val="none" w:sz="0" w:space="0" w:color="auto"/>
        <w:right w:val="none" w:sz="0" w:space="0" w:color="auto"/>
      </w:divBdr>
    </w:div>
    <w:div w:id="1473592659">
      <w:bodyDiv w:val="1"/>
      <w:marLeft w:val="0"/>
      <w:marRight w:val="0"/>
      <w:marTop w:val="0"/>
      <w:marBottom w:val="0"/>
      <w:divBdr>
        <w:top w:val="none" w:sz="0" w:space="0" w:color="auto"/>
        <w:left w:val="none" w:sz="0" w:space="0" w:color="auto"/>
        <w:bottom w:val="none" w:sz="0" w:space="0" w:color="auto"/>
        <w:right w:val="none" w:sz="0" w:space="0" w:color="auto"/>
      </w:divBdr>
    </w:div>
    <w:div w:id="1883976438">
      <w:bodyDiv w:val="1"/>
      <w:marLeft w:val="0"/>
      <w:marRight w:val="0"/>
      <w:marTop w:val="0"/>
      <w:marBottom w:val="0"/>
      <w:divBdr>
        <w:top w:val="none" w:sz="0" w:space="0" w:color="auto"/>
        <w:left w:val="none" w:sz="0" w:space="0" w:color="auto"/>
        <w:bottom w:val="none" w:sz="0" w:space="0" w:color="auto"/>
        <w:right w:val="none" w:sz="0" w:space="0" w:color="auto"/>
      </w:divBdr>
    </w:div>
    <w:div w:id="200462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r238@rutger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Caputo</dc:creator>
  <cp:keywords/>
  <dc:description/>
  <cp:lastModifiedBy>Ydalia Ramos</cp:lastModifiedBy>
  <cp:revision>2</cp:revision>
  <cp:lastPrinted>2025-10-28T13:53:00Z</cp:lastPrinted>
  <dcterms:created xsi:type="dcterms:W3CDTF">2026-02-11T13:44:00Z</dcterms:created>
  <dcterms:modified xsi:type="dcterms:W3CDTF">2026-02-11T13:44:00Z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57bafd42-04b5-4eb7-87e0-7de07fb23eef</vt:lpwstr>
  </property>
</Properties>
</file>